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360" w:lineRule="auto"/>
        <w:rPr>
          <w:color w:val="00b050"/>
          <w:spacing w:val="70"/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  <wp:simplePos x="0" y="0"/>
                <wp:positionH relativeFrom="column">
                  <wp:posOffset>2653665</wp:posOffset>
                </wp:positionH>
                <wp:positionV relativeFrom="page">
                  <wp:posOffset>482600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208.95pt;mso-position-horizontal:absolute;mso-position-vertical-relative:page;margin-top:38.00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color w:val="00b050"/>
          <w:spacing w:val="70"/>
          <w:sz w:val="24"/>
        </w:rPr>
      </w:r>
      <w:r>
        <w:rPr>
          <w:color w:val="00b050"/>
          <w:spacing w:val="70"/>
          <w:sz w:val="24"/>
        </w:rPr>
      </w:r>
    </w:p>
    <w:p>
      <w:pPr>
        <w:pStyle w:val="716"/>
        <w:spacing w:line="240" w:lineRule="auto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716"/>
        <w:spacing w:line="240" w:lineRule="auto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</w:r>
      <w:r>
        <w:rPr>
          <w:b w:val="0"/>
          <w:sz w:val="20"/>
        </w:rPr>
      </w:r>
    </w:p>
    <w:p>
      <w:pPr>
        <w:pStyle w:val="716"/>
        <w:spacing w:line="240" w:lineRule="auto"/>
        <w:rPr>
          <w:b w:val="0"/>
        </w:rPr>
      </w:pPr>
      <w:r>
        <w:rPr>
          <w:b w:val="0"/>
        </w:rPr>
        <w:t xml:space="preserve">ПРИМОРСКИЙ КРАЙ</w:t>
      </w:r>
      <w:r>
        <w:rPr>
          <w:b w:val="0"/>
        </w:rPr>
      </w:r>
      <w:r>
        <w:rPr>
          <w:b w:val="0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716"/>
        <w:spacing w:line="240" w:lineRule="auto"/>
      </w:pPr>
      <w:r>
        <w:t xml:space="preserve">ДУМА АРТЕМОВСКОГО ГОРОДСКОГО ОКРУГА</w:t>
      </w:r>
      <w:r/>
    </w:p>
    <w:p>
      <w:pPr>
        <w:pStyle w:val="716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717"/>
        <w:spacing w:line="240" w:lineRule="auto"/>
        <w:rPr>
          <w:spacing w:val="40"/>
        </w:rPr>
      </w:pPr>
      <w:r>
        <w:rPr>
          <w:spacing w:val="40"/>
        </w:rPr>
      </w:r>
      <w:r>
        <w:rPr>
          <w:spacing w:val="40"/>
        </w:rPr>
      </w:r>
      <w:r>
        <w:rPr>
          <w:spacing w:val="40"/>
        </w:rPr>
      </w:r>
    </w:p>
    <w:p>
      <w:pPr>
        <w:pStyle w:val="717"/>
        <w:spacing w:line="240" w:lineRule="auto"/>
        <w:rPr>
          <w:spacing w:val="40"/>
        </w:rPr>
      </w:pPr>
      <w:r>
        <w:rPr>
          <w:spacing w:val="40"/>
        </w:rPr>
        <w:t xml:space="preserve">РЕШЕНИЕ</w:t>
      </w:r>
      <w:r>
        <w:rPr>
          <w:spacing w:val="40"/>
        </w:rPr>
      </w:r>
      <w:r>
        <w:rPr>
          <w:spacing w:val="40"/>
        </w:rPr>
      </w:r>
    </w:p>
    <w:p>
      <w:pPr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rPr>
          <w:spacing w:val="40"/>
          <w:sz w:val="24"/>
        </w:rPr>
      </w:pPr>
      <w:r>
        <w:rPr>
          <w:sz w:val="24"/>
          <w:szCs w:val="24"/>
        </w:rPr>
        <w:t xml:space="preserve">… … ... </w:t>
      </w:r>
      <w:r>
        <w:rPr>
          <w:spacing w:val="40"/>
          <w:sz w:val="24"/>
        </w:rPr>
        <w:t xml:space="preserve">        </w:t>
      </w:r>
      <w:r>
        <w:rPr>
          <w:spacing w:val="40"/>
          <w:sz w:val="24"/>
        </w:rPr>
        <w:tab/>
        <w:t xml:space="preserve"> </w:t>
      </w:r>
      <w:r>
        <w:rPr>
          <w:spacing w:val="40"/>
          <w:sz w:val="24"/>
        </w:rPr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        № ...</w:t>
      </w:r>
      <w:r>
        <w:rPr>
          <w:spacing w:val="40"/>
          <w:sz w:val="24"/>
        </w:rPr>
      </w:r>
      <w:r>
        <w:rPr>
          <w:spacing w:val="40"/>
          <w:sz w:val="24"/>
        </w:rPr>
      </w:r>
    </w:p>
    <w:p>
      <w:pPr>
        <w:rPr>
          <w:spacing w:val="40"/>
          <w:sz w:val="24"/>
        </w:rPr>
      </w:pPr>
      <w:r>
        <w:rPr>
          <w:spacing w:val="40"/>
          <w:sz w:val="24"/>
        </w:rPr>
      </w:r>
      <w:r>
        <w:rPr>
          <w:spacing w:val="40"/>
          <w:sz w:val="24"/>
        </w:rPr>
      </w:r>
      <w:r>
        <w:rPr>
          <w:spacing w:val="40"/>
          <w:sz w:val="24"/>
        </w:rPr>
      </w:r>
    </w:p>
    <w:p>
      <w:pPr>
        <w:rPr>
          <w:spacing w:val="40"/>
          <w:sz w:val="24"/>
        </w:rPr>
      </w:pPr>
      <w:r>
        <w:rPr>
          <w:spacing w:val="40"/>
          <w:sz w:val="24"/>
        </w:rPr>
      </w:r>
      <w:r>
        <w:rPr>
          <w:spacing w:val="40"/>
          <w:sz w:val="24"/>
        </w:rPr>
      </w:r>
      <w:r>
        <w:rPr>
          <w:spacing w:val="40"/>
          <w:sz w:val="24"/>
        </w:rPr>
      </w:r>
    </w:p>
    <w:p>
      <w:pPr>
        <w:jc w:val="both"/>
        <w:widowControl w:val="off"/>
        <w:rPr>
          <w:sz w:val="24"/>
        </w:rPr>
      </w:pPr>
      <w:r>
        <w:rPr>
          <w:sz w:val="24"/>
        </w:rPr>
        <w:t xml:space="preserve">Об утверждении в первом чтении проекта</w:t>
      </w:r>
      <w:r>
        <w:rPr>
          <w:sz w:val="24"/>
        </w:rPr>
      </w:r>
      <w:r>
        <w:rPr>
          <w:sz w:val="24"/>
        </w:rPr>
      </w:r>
    </w:p>
    <w:p>
      <w:pPr>
        <w:jc w:val="both"/>
        <w:widowControl w:val="off"/>
        <w:rPr>
          <w:sz w:val="24"/>
        </w:rPr>
      </w:pPr>
      <w:r>
        <w:rPr>
          <w:sz w:val="24"/>
        </w:rPr>
        <w:t xml:space="preserve">решения Думы Артемовского городского округа</w:t>
      </w:r>
      <w:r>
        <w:rPr>
          <w:sz w:val="24"/>
        </w:rPr>
      </w:r>
      <w:r>
        <w:rPr>
          <w:sz w:val="24"/>
        </w:rPr>
      </w:r>
    </w:p>
    <w:p>
      <w:pPr>
        <w:jc w:val="both"/>
        <w:widowControl w:val="off"/>
        <w:rPr>
          <w:sz w:val="24"/>
        </w:rPr>
      </w:pPr>
      <w:r>
        <w:rPr>
          <w:sz w:val="24"/>
        </w:rPr>
        <w:t xml:space="preserve">«О бюджете Артемовского городского округа </w:t>
      </w:r>
      <w:r>
        <w:rPr>
          <w:sz w:val="24"/>
        </w:rPr>
      </w:r>
      <w:r>
        <w:rPr>
          <w:sz w:val="24"/>
        </w:rPr>
      </w:r>
    </w:p>
    <w:p>
      <w:pPr>
        <w:jc w:val="both"/>
        <w:widowControl w:val="off"/>
        <w:rPr>
          <w:color w:val="00b050"/>
          <w:sz w:val="24"/>
        </w:rPr>
      </w:pPr>
      <w:r>
        <w:rPr>
          <w:sz w:val="24"/>
        </w:rPr>
        <w:t xml:space="preserve">на 2026 год</w:t>
      </w:r>
      <w:r>
        <w:rPr>
          <w:sz w:val="24"/>
        </w:rPr>
        <w:t xml:space="preserve"> и плановый период 2027 и 2028 годов»</w:t>
      </w:r>
      <w:r>
        <w:rPr>
          <w:color w:val="00b050"/>
          <w:sz w:val="24"/>
        </w:rPr>
      </w:r>
      <w:r>
        <w:rPr>
          <w:color w:val="00b050"/>
          <w:sz w:val="24"/>
        </w:rPr>
      </w:r>
    </w:p>
    <w:p>
      <w:pPr>
        <w:jc w:val="both"/>
        <w:widowControl w:val="off"/>
        <w:rPr>
          <w:color w:val="00b050"/>
          <w:sz w:val="24"/>
        </w:rPr>
      </w:pPr>
      <w:r>
        <w:rPr>
          <w:color w:val="00b050"/>
          <w:sz w:val="24"/>
        </w:rPr>
      </w:r>
      <w:r>
        <w:rPr>
          <w:color w:val="00b050"/>
          <w:sz w:val="24"/>
        </w:rPr>
      </w:r>
      <w:r>
        <w:rPr>
          <w:color w:val="00b050"/>
          <w:sz w:val="24"/>
        </w:rPr>
      </w:r>
    </w:p>
    <w:p>
      <w:pPr>
        <w:jc w:val="both"/>
        <w:widowControl w:val="off"/>
        <w:rPr>
          <w:color w:val="00b050"/>
          <w:sz w:val="24"/>
        </w:rPr>
      </w:pPr>
      <w:r>
        <w:rPr>
          <w:color w:val="00b050"/>
          <w:sz w:val="24"/>
        </w:rPr>
      </w:r>
      <w:r>
        <w:rPr>
          <w:color w:val="00b050"/>
          <w:sz w:val="24"/>
        </w:rPr>
      </w:r>
      <w:r>
        <w:rPr>
          <w:color w:val="00b050"/>
          <w:sz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Рассмотрев Прогноз социально-экономического развития Артемовского городского округа на 2026 год и плановый период 2027 и 2028 годов, Основные направления бюджетной  и налоговой политики Артемовского городского округа</w:t>
      </w:r>
      <w:r>
        <w:rPr>
          <w:sz w:val="24"/>
          <w:szCs w:val="24"/>
        </w:rPr>
        <w:t xml:space="preserve"> на 2026-2028 годы, ожидаемое исполнение бюджета Артемовского городского округа за 2025 год, </w:t>
      </w: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Бюджетным кодексом Российской Федерации, решением Думы Артемовского городского               от 25.05.200</w:t>
      </w:r>
      <w:r>
        <w:rPr>
          <w:sz w:val="24"/>
          <w:szCs w:val="24"/>
        </w:rPr>
        <w:t xml:space="preserve">6 № 322 «О Положении о бюджетном процессе в Артемовском городском округе», </w:t>
      </w:r>
      <w:r>
        <w:rPr>
          <w:sz w:val="24"/>
          <w:szCs w:val="24"/>
        </w:rPr>
        <w:t xml:space="preserve">Уставом Артемовского городского округа Приморского края, </w:t>
      </w:r>
      <w:r>
        <w:rPr>
          <w:sz w:val="24"/>
          <w:szCs w:val="24"/>
        </w:rPr>
        <w:t xml:space="preserve">Дума Артемовского городского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3"/>
        <w:spacing w:line="240" w:lineRule="auto"/>
        <w:widowControl w:val="off"/>
        <w:rPr>
          <w:lang w:val="ru-RU"/>
        </w:rPr>
      </w:pPr>
      <w:r>
        <w:rPr>
          <w:lang w:val="ru-RU"/>
        </w:rPr>
        <w:t xml:space="preserve">РЕШИЛА:</w:t>
      </w:r>
      <w:r>
        <w:rPr>
          <w:lang w:val="ru-RU"/>
        </w:rPr>
      </w:r>
      <w:r>
        <w:rPr>
          <w:lang w:val="ru-RU"/>
        </w:rPr>
      </w:r>
    </w:p>
    <w:p>
      <w:pPr>
        <w:spacing w:line="360" w:lineRule="auto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709"/>
        <w:jc w:val="both"/>
        <w:spacing w:line="336" w:lineRule="auto"/>
        <w:widowControl w:val="off"/>
        <w:rPr>
          <w:sz w:val="24"/>
          <w:szCs w:val="24"/>
        </w:rPr>
      </w:pPr>
      <w:r>
        <w:rPr>
          <w:sz w:val="24"/>
        </w:rPr>
        <w:t xml:space="preserve">1. </w:t>
      </w:r>
      <w:r>
        <w:rPr>
          <w:sz w:val="24"/>
          <w:szCs w:val="24"/>
        </w:rPr>
        <w:t xml:space="preserve">Утвердить проект решения Думы Артемовского городского округа «О бюджете Артемовского городского округа на 2026</w:t>
      </w:r>
      <w:r>
        <w:rPr>
          <w:sz w:val="24"/>
          <w:szCs w:val="24"/>
        </w:rPr>
        <w:t xml:space="preserve"> год и плановый период 2027 и 2028 годов» в первом чтении.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 Утвердить основные характеристики бюджета Артемовского городского округа на 2026 год: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5"/>
        <w:ind w:firstLine="709"/>
        <w:jc w:val="both"/>
        <w:spacing w:line="360" w:lineRule="auto"/>
        <w:rPr>
          <w:color w:val="000000" w:themeColor="text1"/>
        </w:rPr>
      </w:pPr>
      <w:r>
        <w:t xml:space="preserve">а) общий объем доходов бюджета Артемовского городского округа в сумме </w:t>
      </w:r>
      <w:r>
        <w:rPr>
          <w:color w:val="000000" w:themeColor="text1"/>
        </w:rPr>
        <w:t xml:space="preserve">8</w:t>
      </w:r>
      <w:r>
        <w:t xml:space="preserve"> </w:t>
      </w:r>
      <w:r>
        <w:rPr>
          <w:color w:val="000000" w:themeColor="text1"/>
        </w:rPr>
        <w:t xml:space="preserve">155</w:t>
      </w:r>
      <w:r>
        <w:t xml:space="preserve"> </w:t>
      </w:r>
      <w:r>
        <w:rPr>
          <w:color w:val="000000" w:themeColor="text1"/>
        </w:rPr>
        <w:t xml:space="preserve">495</w:t>
      </w:r>
      <w:r>
        <w:t xml:space="preserve"> </w:t>
      </w:r>
      <w:r>
        <w:rPr>
          <w:color w:val="000000" w:themeColor="text1"/>
        </w:rPr>
        <w:t xml:space="preserve">633,76 руб., </w:t>
      </w:r>
      <w:r>
        <w:t xml:space="preserve">в</w:t>
      </w:r>
      <w:r>
        <w:t xml:space="preserve"> том числе объем межбюджетных трансфертов, получаемых из других бюджетов бюджетной системы Российской Федерации, в сумм</w:t>
      </w:r>
      <w:r>
        <w:rPr>
          <w:color w:val="000000" w:themeColor="text1"/>
        </w:rPr>
        <w:t xml:space="preserve">е 4</w:t>
      </w:r>
      <w:r>
        <w:t xml:space="preserve"> </w:t>
      </w:r>
      <w:r>
        <w:rPr>
          <w:color w:val="000000" w:themeColor="text1"/>
        </w:rPr>
        <w:t xml:space="preserve">144</w:t>
      </w:r>
      <w:r>
        <w:t xml:space="preserve"> </w:t>
      </w:r>
      <w:r>
        <w:rPr>
          <w:color w:val="000000" w:themeColor="text1"/>
        </w:rPr>
        <w:t xml:space="preserve">478</w:t>
      </w:r>
      <w:r>
        <w:t xml:space="preserve"> </w:t>
      </w:r>
      <w:r>
        <w:rPr>
          <w:color w:val="000000" w:themeColor="text1"/>
        </w:rPr>
        <w:t xml:space="preserve">308,98 руб.;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в сумме 8</w:t>
      </w:r>
      <w:r>
        <w:t xml:space="preserve"> </w:t>
      </w:r>
      <w:r>
        <w:rPr>
          <w:sz w:val="24"/>
          <w:szCs w:val="24"/>
        </w:rPr>
        <w:t xml:space="preserve">155</w:t>
      </w:r>
      <w:r>
        <w:t xml:space="preserve"> </w:t>
      </w:r>
      <w:r>
        <w:rPr>
          <w:sz w:val="24"/>
          <w:szCs w:val="24"/>
        </w:rPr>
        <w:t xml:space="preserve">495</w:t>
      </w:r>
      <w:r>
        <w:t xml:space="preserve"> </w:t>
      </w:r>
      <w:r>
        <w:rPr>
          <w:sz w:val="24"/>
          <w:szCs w:val="24"/>
        </w:rPr>
        <w:t xml:space="preserve">633,76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руб., в</w:t>
      </w:r>
      <w:r>
        <w:rPr>
          <w:sz w:val="24"/>
          <w:szCs w:val="24"/>
        </w:rPr>
        <w:t xml:space="preserve"> том числе общий </w:t>
      </w:r>
      <w:r>
        <w:rPr>
          <w:sz w:val="24"/>
          <w:szCs w:val="24"/>
        </w:rPr>
        <w:t xml:space="preserve">объем бюджетных ассигнований на исполнение муниципальных гарантий администрации Артемовского городского округа по возможным гарантийным случаям</w:t>
      </w:r>
      <w:r>
        <w:rPr>
          <w:color w:val="000000" w:themeColor="text1"/>
          <w:sz w:val="24"/>
          <w:szCs w:val="24"/>
        </w:rPr>
        <w:t xml:space="preserve"> – 0,00 руб.;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в) размер дефицита бюджета Артемовского городского округа в су</w:t>
      </w:r>
      <w:r>
        <w:rPr>
          <w:color w:val="000000" w:themeColor="text1"/>
          <w:sz w:val="24"/>
          <w:szCs w:val="24"/>
        </w:rPr>
        <w:t xml:space="preserve">мме 0,00 руб.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13"/>
        <w:ind w:firstLine="709"/>
        <w:jc w:val="both"/>
        <w:widowControl w:val="off"/>
        <w:rPr>
          <w:szCs w:val="24"/>
          <w:lang w:val="ru-RU"/>
        </w:rPr>
      </w:pPr>
      <w:r>
        <w:rPr>
          <w:szCs w:val="24"/>
          <w:lang w:val="ru-RU"/>
        </w:rPr>
        <w:t xml:space="preserve">3. Утвердить основные х</w:t>
      </w:r>
      <w:r>
        <w:rPr>
          <w:szCs w:val="24"/>
          <w:lang w:val="ru-RU"/>
        </w:rPr>
        <w:t xml:space="preserve">арактеристики бюджета Артемовского городского округа на плановый период 2027 и 2028 годов: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а) прогнозируемый общий объем доходов бюджета Артемовского городского округа на 2027 год в сумме</w:t>
      </w:r>
      <w:r>
        <w:rPr>
          <w:color w:val="000000" w:themeColor="text1"/>
          <w:sz w:val="24"/>
          <w:szCs w:val="24"/>
        </w:rPr>
        <w:t xml:space="preserve"> 8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137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823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397,55 руб., в т</w:t>
      </w:r>
      <w:r>
        <w:rPr>
          <w:sz w:val="24"/>
          <w:szCs w:val="24"/>
        </w:rPr>
        <w:t xml:space="preserve">ом числе объем межбюджетных трансфертов, п</w:t>
      </w:r>
      <w:r>
        <w:rPr>
          <w:sz w:val="24"/>
          <w:szCs w:val="24"/>
        </w:rPr>
        <w:t xml:space="preserve">олучаемых из других бюджетов бюджетной системы Российской Федерации, в сумме </w:t>
      </w:r>
      <w:r>
        <w:rPr>
          <w:color w:val="000000" w:themeColor="text1"/>
          <w:sz w:val="24"/>
          <w:szCs w:val="24"/>
        </w:rPr>
        <w:t xml:space="preserve">4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225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800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708,02 руб., </w:t>
      </w:r>
      <w:r>
        <w:rPr>
          <w:sz w:val="24"/>
          <w:szCs w:val="24"/>
        </w:rPr>
        <w:t xml:space="preserve">на 2028 год </w:t>
      </w:r>
      <w:r>
        <w:rPr>
          <w:color w:val="000000" w:themeColor="text1"/>
          <w:sz w:val="24"/>
          <w:szCs w:val="24"/>
        </w:rPr>
        <w:t xml:space="preserve">в сумме 8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454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579 165,60 руб., в</w:t>
      </w:r>
      <w:r>
        <w:rPr>
          <w:sz w:val="24"/>
          <w:szCs w:val="24"/>
        </w:rPr>
        <w:t xml:space="preserve"> том числе объем межбюджетных трансфертов, получаемых из других бюджетов бюджетной системы Российской Федерации,</w:t>
      </w:r>
      <w:r>
        <w:rPr>
          <w:sz w:val="24"/>
          <w:szCs w:val="24"/>
        </w:rPr>
        <w:t xml:space="preserve">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4 385 990 077,70 руб.;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на 2027 год в сумм</w:t>
      </w:r>
      <w:r>
        <w:rPr>
          <w:color w:val="000000" w:themeColor="text1"/>
          <w:sz w:val="24"/>
          <w:szCs w:val="24"/>
        </w:rPr>
        <w:t xml:space="preserve">е 8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137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823 397,55 руб., в том числе условно утвержденные расходы в сумме 97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800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567,24 руб.,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4"/>
          <w:szCs w:val="24"/>
        </w:rPr>
        <w:t xml:space="preserve">общий о</w:t>
      </w:r>
      <w:r>
        <w:rPr>
          <w:sz w:val="24"/>
          <w:szCs w:val="24"/>
        </w:rPr>
        <w:t xml:space="preserve">бъем бюджетных ассигнований на исполнение </w:t>
      </w:r>
      <w:r>
        <w:rPr>
          <w:sz w:val="24"/>
          <w:szCs w:val="24"/>
        </w:rPr>
        <w:t xml:space="preserve">муниципальных гарантий администрации Артемовского городского округа по возможным гарантийным случаям – 0,00 руб., на 2028 год в сумме 8</w:t>
      </w:r>
      <w:r>
        <w:t xml:space="preserve"> </w:t>
      </w:r>
      <w:r>
        <w:rPr>
          <w:sz w:val="24"/>
          <w:szCs w:val="24"/>
        </w:rPr>
        <w:t xml:space="preserve">454</w:t>
      </w:r>
      <w:r>
        <w:t xml:space="preserve"> </w:t>
      </w:r>
      <w:r>
        <w:rPr>
          <w:sz w:val="24"/>
          <w:szCs w:val="24"/>
        </w:rPr>
        <w:t xml:space="preserve">579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165,60 руб., в том числе условно утвержденные расходы в сумме 203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429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454,40 руб., общий о</w:t>
      </w:r>
      <w:r>
        <w:rPr>
          <w:sz w:val="24"/>
          <w:szCs w:val="24"/>
        </w:rPr>
        <w:t xml:space="preserve">бъем бюджетных ассигно</w:t>
      </w:r>
      <w:r>
        <w:rPr>
          <w:sz w:val="24"/>
          <w:szCs w:val="24"/>
        </w:rPr>
        <w:t xml:space="preserve">ваний на исполнение муниципальных гарантий администрации Артемовского городского округа по возможным гарантийным случаям – 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в) дефицит бюджета Артемовского городского округа: на 2027 год - 0,00 руб., на 2028 год – 0,00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4. Утвердить иные показатели бюджета Артемовского городского округа на          2026 год: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3"/>
        <w:ind w:firstLine="709"/>
        <w:jc w:val="both"/>
        <w:widowControl w:val="off"/>
        <w:tabs>
          <w:tab w:val="left" w:pos="7559" w:leader="none"/>
        </w:tabs>
      </w:pPr>
      <w:r>
        <w:rPr>
          <w:lang w:val="ru-RU"/>
        </w:rPr>
        <w:t xml:space="preserve">а) источники внутреннего финансирования дефицита бюджета </w:t>
      </w:r>
      <w:r>
        <w:rPr>
          <w:szCs w:val="24"/>
          <w:lang w:val="ru-RU"/>
        </w:rPr>
        <w:t xml:space="preserve">Артемовского городского округа </w:t>
      </w:r>
      <w:r>
        <w:rPr>
          <w:lang w:val="ru-RU"/>
        </w:rPr>
        <w:t xml:space="preserve">согласно приложению </w:t>
      </w:r>
      <w:r>
        <w:t xml:space="preserve">1 к настоящему решению;</w:t>
      </w:r>
      <w:r/>
    </w:p>
    <w:p>
      <w:pPr>
        <w:pStyle w:val="913"/>
        <w:ind w:firstLine="709"/>
        <w:jc w:val="both"/>
        <w:widowControl w:val="off"/>
        <w:tabs>
          <w:tab w:val="left" w:pos="7559" w:leader="none"/>
        </w:tabs>
        <w:rPr>
          <w:lang w:val="ru-RU"/>
        </w:rPr>
      </w:pPr>
      <w:r>
        <w:rPr>
          <w:lang w:val="ru-RU"/>
        </w:rPr>
        <w:t xml:space="preserve">б) </w:t>
      </w:r>
      <w:r>
        <w:rPr>
          <w:szCs w:val="24"/>
          <w:lang w:val="ru-RU"/>
        </w:rPr>
        <w:t xml:space="preserve">верхний предел муниципального внутреннег</w:t>
      </w:r>
      <w:r>
        <w:rPr>
          <w:szCs w:val="24"/>
          <w:lang w:val="ru-RU"/>
        </w:rPr>
        <w:t xml:space="preserve">о долга Артемовского городского округа на 1 января 2027 года в сумме 0,00 руб., в том числе верхний предел долга по муниципальным гарантиям Артемовского городского округа в валюте Российской Федерации в сумме 0,00 руб.;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line="360" w:lineRule="auto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объем расходов на обслуживание му</w:t>
      </w:r>
      <w:r>
        <w:rPr>
          <w:sz w:val="24"/>
          <w:szCs w:val="24"/>
        </w:rPr>
        <w:t xml:space="preserve">ниципального внутреннего долга Артемовского городского округа – 0,00 руб.;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г) объем средств резервного фонда администрации Артемовского городского округа в размере </w:t>
      </w:r>
      <w:r>
        <w:rPr>
          <w:color w:val="000000" w:themeColor="text1"/>
          <w:sz w:val="24"/>
          <w:szCs w:val="24"/>
        </w:rPr>
        <w:t xml:space="preserve">134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013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283,41 руб.;</w:t>
      </w:r>
      <w:r>
        <w:rPr>
          <w:color w:val="ff0000"/>
          <w:sz w:val="24"/>
          <w:szCs w:val="24"/>
        </w:rPr>
        <w:t xml:space="preserve">  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д) объем бюджетных ассигнований муниципального дорожного фонда Артем</w:t>
      </w:r>
      <w:r>
        <w:rPr>
          <w:sz w:val="24"/>
          <w:szCs w:val="24"/>
        </w:rPr>
        <w:t xml:space="preserve">овского городского округа в размере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575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745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602,64 руб.;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е) общий объем бюджетных ассигнований на исполнение публичных нормативных обязательств в сумме </w:t>
      </w:r>
      <w:r>
        <w:rPr>
          <w:color w:val="000000" w:themeColor="text1"/>
          <w:sz w:val="24"/>
          <w:szCs w:val="24"/>
        </w:rPr>
        <w:t xml:space="preserve">73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215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164,22 руб., в том числе: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на п</w:t>
      </w:r>
      <w:r>
        <w:rPr>
          <w:sz w:val="24"/>
          <w:szCs w:val="24"/>
        </w:rPr>
        <w:t xml:space="preserve">енсии за выслугу лет муниципальным служащим Артемовского городского округа в сумме 20</w:t>
      </w:r>
      <w:r>
        <w:t xml:space="preserve"> </w:t>
      </w:r>
      <w:r>
        <w:rPr>
          <w:sz w:val="24"/>
          <w:szCs w:val="24"/>
        </w:rPr>
        <w:t xml:space="preserve">147</w:t>
      </w:r>
      <w:r>
        <w:t xml:space="preserve"> </w:t>
      </w:r>
      <w:r>
        <w:rPr>
          <w:sz w:val="24"/>
          <w:szCs w:val="24"/>
        </w:rPr>
        <w:t xml:space="preserve">341,56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руб.; 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доплату к страховой пенсии лицам, замещающим муниципальную должность на постоянной основе в Артемовском городском округе,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362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073,91 руб.;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50</w:t>
      </w:r>
      <w:r>
        <w:t xml:space="preserve"> </w:t>
      </w:r>
      <w:r>
        <w:rPr>
          <w:sz w:val="24"/>
          <w:szCs w:val="24"/>
        </w:rPr>
        <w:t xml:space="preserve">291</w:t>
      </w:r>
      <w:r>
        <w:t xml:space="preserve"> </w:t>
      </w:r>
      <w:r>
        <w:rPr>
          <w:sz w:val="24"/>
          <w:szCs w:val="24"/>
        </w:rPr>
        <w:t xml:space="preserve">954,75</w:t>
      </w:r>
      <w:r>
        <w:rPr>
          <w:color w:val="000000" w:themeColor="text1"/>
          <w:sz w:val="24"/>
          <w:szCs w:val="24"/>
        </w:rPr>
        <w:t xml:space="preserve"> руб.;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единовременное денежное вознаграждение лицам, удостоенным звания «Почетный г</w:t>
      </w:r>
      <w:r>
        <w:rPr>
          <w:sz w:val="24"/>
          <w:szCs w:val="24"/>
        </w:rPr>
        <w:t xml:space="preserve">ражданин Артемовского городского округа», в сумме </w:t>
      </w:r>
      <w:r>
        <w:rPr>
          <w:color w:val="000000" w:themeColor="text1"/>
          <w:sz w:val="24"/>
          <w:szCs w:val="24"/>
        </w:rPr>
        <w:t xml:space="preserve">413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794,00 руб.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13"/>
        <w:ind w:firstLine="709"/>
        <w:jc w:val="both"/>
        <w:widowControl w:val="off"/>
        <w:rPr>
          <w:lang w:val="ru-RU"/>
        </w:rPr>
      </w:pPr>
      <w:r>
        <w:rPr>
          <w:lang w:val="ru-RU"/>
        </w:rPr>
        <w:t xml:space="preserve">5. Утвердить иные показатели бюджета Артемовского городского округа на плановый период 2027 и 2028 годов:</w:t>
      </w:r>
      <w:r>
        <w:rPr>
          <w:lang w:val="ru-RU"/>
        </w:rPr>
      </w:r>
      <w:r>
        <w:rPr>
          <w:lang w:val="ru-RU"/>
        </w:rPr>
      </w:r>
    </w:p>
    <w:p>
      <w:pPr>
        <w:pStyle w:val="913"/>
        <w:ind w:firstLine="709"/>
        <w:jc w:val="both"/>
        <w:widowControl w:val="off"/>
      </w:pPr>
      <w:r>
        <w:rPr>
          <w:lang w:val="ru-RU"/>
        </w:rPr>
        <w:t xml:space="preserve">а) источники внутреннего финансирования дефицита бюджета </w:t>
      </w:r>
      <w:r>
        <w:rPr>
          <w:szCs w:val="24"/>
          <w:lang w:val="ru-RU"/>
        </w:rPr>
        <w:t xml:space="preserve">Артемовского городского окр</w:t>
      </w:r>
      <w:r>
        <w:rPr>
          <w:szCs w:val="24"/>
          <w:lang w:val="ru-RU"/>
        </w:rPr>
        <w:t xml:space="preserve">уга на плановый период 2027 и 2028 годов </w:t>
      </w:r>
      <w:r>
        <w:rPr>
          <w:lang w:val="ru-RU"/>
        </w:rPr>
        <w:t xml:space="preserve">согласно приложению 1</w:t>
      </w:r>
      <w:r>
        <w:t xml:space="preserve"> к настоящему решению;</w:t>
      </w:r>
      <w:r/>
    </w:p>
    <w:p>
      <w:pPr>
        <w:pStyle w:val="913"/>
        <w:ind w:firstLine="709"/>
        <w:jc w:val="both"/>
        <w:widowControl w:val="off"/>
        <w:tabs>
          <w:tab w:val="left" w:pos="7559" w:leader="none"/>
        </w:tabs>
        <w:rPr>
          <w:szCs w:val="24"/>
          <w:lang w:val="ru-RU"/>
        </w:rPr>
      </w:pPr>
      <w:r>
        <w:rPr>
          <w:lang w:val="ru-RU"/>
        </w:rPr>
        <w:t xml:space="preserve">б) </w:t>
      </w:r>
      <w:r>
        <w:rPr>
          <w:szCs w:val="24"/>
          <w:lang w:val="ru-RU"/>
        </w:rPr>
        <w:t xml:space="preserve">верхний предел муниципального внутреннего долга Артемовского городского округа на 1 января 2028 года в сумме 0,00 руб., в том числе верхний п</w:t>
      </w:r>
      <w:r>
        <w:rPr>
          <w:szCs w:val="24"/>
          <w:lang w:val="ru-RU"/>
        </w:rPr>
        <w:t xml:space="preserve">редел долга по муниципальным гарантиям Артемовского городского округа в валюте Российской Федерации в сумме 0,00 руб., верхний предел муниципального внутреннего долга Артемовского городского округа на 1 января 2029 года в сумме 0,00 руб., в том числе верхн</w:t>
      </w:r>
      <w:r>
        <w:rPr>
          <w:szCs w:val="24"/>
          <w:lang w:val="ru-RU"/>
        </w:rPr>
        <w:t xml:space="preserve">ий предел долга по муниципальным гарантиям Артемовского городского округа в валюте Российской Федерации в сумме 0,00 руб.;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в) объем расходов на обслуживание муниципального внутреннего долга Артемовского городского округа на плановый период 2027 года в сумм</w:t>
      </w:r>
      <w:r>
        <w:rPr>
          <w:sz w:val="24"/>
          <w:szCs w:val="24"/>
        </w:rPr>
        <w:t xml:space="preserve">е 0,00 руб., на 2028 год в сумме 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г) объем средств резервного фонда администрации Артемовского городского округа на плановый период 2027 и 2028 годов в размере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119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175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552,80 руб. и 125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520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750,64 руб. соответственно;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д) объем бюджетных ассигнова</w:t>
      </w:r>
      <w:r>
        <w:rPr>
          <w:sz w:val="24"/>
          <w:szCs w:val="24"/>
        </w:rPr>
        <w:t xml:space="preserve">ний муниципального дорожного фонда Артемовского городского округа на плановый период 2027 года в сумме </w:t>
      </w:r>
      <w:r>
        <w:rPr>
          <w:color w:val="000000" w:themeColor="text1"/>
          <w:sz w:val="24"/>
          <w:szCs w:val="24"/>
        </w:rPr>
        <w:t xml:space="preserve">1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403 880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042,35 руб., на 2028 год     в сумме 1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274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398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846,37 руб.;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е) общий объем бюджетных ассигнований на исполнение публичных нормативных обязатель</w:t>
      </w:r>
      <w:r>
        <w:rPr>
          <w:sz w:val="24"/>
          <w:szCs w:val="24"/>
        </w:rPr>
        <w:t xml:space="preserve">ств на плановый период 2027 года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71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242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791,37 руб.,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плановый период 2028 года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72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467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760,34 руб.,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в том числе: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пенсии за выслугу лет муниципальным служащим Артемовского городского округа в сумме 21</w:t>
      </w:r>
      <w:r>
        <w:t xml:space="preserve"> </w:t>
      </w:r>
      <w:r>
        <w:rPr>
          <w:sz w:val="24"/>
          <w:szCs w:val="24"/>
        </w:rPr>
        <w:t xml:space="preserve">075</w:t>
      </w:r>
      <w:r>
        <w:t xml:space="preserve"> </w:t>
      </w:r>
      <w:r>
        <w:rPr>
          <w:sz w:val="24"/>
          <w:szCs w:val="24"/>
        </w:rPr>
        <w:t xml:space="preserve">461,74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руб.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и 22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016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191,27 ру</w:t>
      </w:r>
      <w:r>
        <w:rPr>
          <w:color w:val="000000" w:themeColor="text1"/>
          <w:sz w:val="24"/>
          <w:szCs w:val="24"/>
        </w:rPr>
        <w:t xml:space="preserve">б. соответственно;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доплату к страховой пенсии лицам, замещающим муниципальную должность на постоянной основе в Артемовском городском округе, в сумме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456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564,63 руб. и 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554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843,78 руб. соответственно;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социальную поддержку детей, оставшихся без попе</w:t>
      </w:r>
      <w:r>
        <w:rPr>
          <w:sz w:val="24"/>
          <w:szCs w:val="24"/>
        </w:rPr>
        <w:t xml:space="preserve">чения родителей, и лиц, принявших на воспитание в семью детей, оставшихся без попечения родителей, в сумме 47</w:t>
      </w:r>
      <w:r>
        <w:t xml:space="preserve"> </w:t>
      </w:r>
      <w:r>
        <w:rPr>
          <w:sz w:val="24"/>
          <w:szCs w:val="24"/>
        </w:rPr>
        <w:t xml:space="preserve">296</w:t>
      </w:r>
      <w:r>
        <w:t xml:space="preserve"> </w:t>
      </w:r>
      <w:r>
        <w:rPr>
          <w:sz w:val="24"/>
          <w:szCs w:val="24"/>
        </w:rPr>
        <w:t xml:space="preserve">971,00</w:t>
      </w:r>
      <w:r>
        <w:rPr>
          <w:color w:val="000000" w:themeColor="text1"/>
          <w:sz w:val="24"/>
          <w:szCs w:val="24"/>
        </w:rPr>
        <w:t xml:space="preserve"> руб.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и 47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482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931,29 руб. соответственно;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  <w:highlight w:val="green"/>
        </w:rPr>
      </w:pPr>
      <w:r>
        <w:rPr>
          <w:sz w:val="24"/>
          <w:szCs w:val="24"/>
        </w:rPr>
        <w:t xml:space="preserve">на единовременное денежное вознаграждение лицам, удостоенным звания «Почетный гражданин Ар</w:t>
      </w:r>
      <w:r>
        <w:rPr>
          <w:sz w:val="24"/>
          <w:szCs w:val="24"/>
        </w:rPr>
        <w:t xml:space="preserve">темовского городского округа», в сумме </w:t>
      </w:r>
      <w:r>
        <w:rPr>
          <w:color w:val="000000" w:themeColor="text1"/>
          <w:sz w:val="24"/>
          <w:szCs w:val="24"/>
        </w:rPr>
        <w:t xml:space="preserve">413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794,00 руб. и 413</w:t>
      </w:r>
      <w:r>
        <w:t xml:space="preserve"> </w:t>
      </w:r>
      <w:r>
        <w:rPr>
          <w:color w:val="000000" w:themeColor="text1"/>
          <w:sz w:val="24"/>
          <w:szCs w:val="24"/>
        </w:rPr>
        <w:t xml:space="preserve">794,00 руб. </w:t>
      </w:r>
      <w:r>
        <w:rPr>
          <w:color w:val="000000" w:themeColor="text1"/>
          <w:sz w:val="24"/>
          <w:szCs w:val="24"/>
          <w:highlight w:val="white"/>
        </w:rPr>
        <w:t xml:space="preserve">соответственно.</w:t>
      </w:r>
      <w:r>
        <w:rPr>
          <w:color w:val="000000" w:themeColor="text1"/>
          <w:sz w:val="24"/>
          <w:szCs w:val="24"/>
          <w:highlight w:val="green"/>
        </w:rPr>
      </w:r>
      <w:r>
        <w:rPr>
          <w:color w:val="000000" w:themeColor="text1"/>
          <w:sz w:val="24"/>
          <w:szCs w:val="24"/>
          <w:highlight w:val="green"/>
        </w:rPr>
      </w:r>
    </w:p>
    <w:p>
      <w:pPr>
        <w:pStyle w:val="913"/>
        <w:ind w:firstLine="709"/>
        <w:jc w:val="both"/>
        <w:widowControl w:val="off"/>
        <w:rPr>
          <w:lang w:val="ru-RU"/>
        </w:rPr>
      </w:pPr>
      <w:r>
        <w:rPr>
          <w:lang w:val="ru-RU"/>
        </w:rPr>
        <w:t xml:space="preserve">6. Установить, что доходы бюджета Артемовского городского округа, поступающие в 2026 году, формируются за счет: 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а) доходов от уплаты федеральных налогов и сборов, нал</w:t>
      </w:r>
      <w:r>
        <w:rPr>
          <w:color w:val="000000" w:themeColor="text1"/>
          <w:sz w:val="24"/>
          <w:szCs w:val="24"/>
        </w:rPr>
        <w:t xml:space="preserve">огов, предусмотренных специальными налоговыми режимами, местных налогов, а также пеней и штрафов по ним, в соответствии с нормативами отчислений, установленными Бюджетным кодексом Российской Федерации, законодательством Российской Федерации;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szCs w:val="24"/>
          <w:lang w:val="ru-RU"/>
        </w:rPr>
      </w:pPr>
      <w:r>
        <w:rPr>
          <w:color w:val="000000" w:themeColor="text1"/>
          <w:lang w:val="ru-RU"/>
        </w:rPr>
        <w:t xml:space="preserve">б) неналоговых</w:t>
      </w:r>
      <w:r>
        <w:rPr>
          <w:color w:val="000000" w:themeColor="text1"/>
          <w:lang w:val="ru-RU"/>
        </w:rPr>
        <w:t xml:space="preserve"> доходов </w:t>
      </w:r>
      <w:r>
        <w:rPr>
          <w:color w:val="000000" w:themeColor="text1"/>
          <w:szCs w:val="24"/>
          <w:lang w:val="ru-RU"/>
        </w:rPr>
        <w:t xml:space="preserve">в соответствии с нормативами отчислений, установленными Бюджетным кодексом Российской Федерации, законодательством Российской Федерации, в том числе:</w:t>
      </w:r>
      <w:r>
        <w:rPr>
          <w:color w:val="000000" w:themeColor="text1"/>
          <w:szCs w:val="24"/>
          <w:lang w:val="ru-RU"/>
        </w:rPr>
      </w:r>
      <w:r>
        <w:rPr>
          <w:color w:val="000000" w:themeColor="text1"/>
          <w:szCs w:val="24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</w:rPr>
      </w:pPr>
      <w:r>
        <w:rPr>
          <w:rFonts w:eastAsia="Calibri"/>
          <w:bCs/>
          <w:color w:val="000000" w:themeColor="text1"/>
          <w:sz w:val="24"/>
          <w:szCs w:val="24"/>
          <w:lang w:eastAsia="en-US"/>
        </w:rPr>
        <w:t xml:space="preserve">доходов от использования имущества, находящегося в государственной и муниципальной собственности</w:t>
      </w:r>
      <w:r>
        <w:rPr>
          <w:color w:val="000000" w:themeColor="text1"/>
          <w:sz w:val="24"/>
        </w:rPr>
        <w:t xml:space="preserve">;</w:t>
      </w:r>
      <w:r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платежей при пользовании природными ресурсами;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доходов от продажи материальных и нематериальных активов;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штрафов, санкций, возмещения ущерба;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в) неналоговых доходов, нормативы распределения по которым не установлены Бюджетным кодексом Российской Феде</w:t>
      </w:r>
      <w:r>
        <w:rPr>
          <w:color w:val="000000" w:themeColor="text1"/>
          <w:sz w:val="24"/>
          <w:szCs w:val="24"/>
        </w:rPr>
        <w:t xml:space="preserve">рации, законодательством Российской Федерации, в том числе: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прочих доходов от оказания платных услуг (работ) получателями средств бюджетов городских округов - по нормативу 100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доходов, поступающих в порядке возмещения расходов, понесенных в связи с эксплуатацией имущества городских округов, - по нормативу 100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прочих доходов от компенсации затрат бюджетов городских округов (в том числе </w:t>
      </w:r>
      <w:r>
        <w:rPr>
          <w:color w:val="000000" w:themeColor="text1"/>
          <w:lang w:val="ru-RU"/>
        </w:rPr>
        <w:t xml:space="preserve">средства, поступающие на лицевые </w:t>
      </w:r>
      <w:r>
        <w:rPr>
          <w:color w:val="000000" w:themeColor="text1"/>
          <w:lang w:val="ru-RU"/>
        </w:rPr>
        <w:t xml:space="preserve">счета получателей средств </w:t>
      </w:r>
      <w:r>
        <w:rPr>
          <w:color w:val="000000" w:themeColor="text1"/>
          <w:szCs w:val="24"/>
          <w:lang w:val="ru-RU"/>
        </w:rPr>
        <w:t xml:space="preserve">Артемовского городского округа </w:t>
      </w:r>
      <w:r>
        <w:rPr>
          <w:color w:val="000000" w:themeColor="text1"/>
          <w:lang w:val="ru-RU"/>
        </w:rPr>
        <w:t xml:space="preserve">в счет погашения дебиторской задолженности</w:t>
      </w:r>
      <w:bookmarkStart w:id="0" w:name="_GoBack"/>
      <w:r/>
      <w:bookmarkEnd w:id="0"/>
      <w:r>
        <w:rPr>
          <w:color w:val="000000" w:themeColor="text1"/>
          <w:lang w:val="ru-RU"/>
        </w:rPr>
        <w:t xml:space="preserve"> прошлых лет</w:t>
      </w:r>
      <w:r>
        <w:rPr>
          <w:color w:val="000000" w:themeColor="text1"/>
          <w:szCs w:val="24"/>
          <w:lang w:val="ru-RU"/>
        </w:rPr>
        <w:t xml:space="preserve">) - по нормативу            100 процентов;</w:t>
      </w:r>
      <w:r>
        <w:rPr>
          <w:color w:val="000000" w:themeColor="text1"/>
          <w:szCs w:val="24"/>
          <w:lang w:val="ru-RU"/>
        </w:rPr>
      </w:r>
      <w:r>
        <w:rPr>
          <w:color w:val="000000" w:themeColor="text1"/>
          <w:szCs w:val="24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невыясненных поступлений, зачисляемых в бюджеты городских округов, - по </w:t>
      </w:r>
      <w:r>
        <w:rPr>
          <w:color w:val="000000" w:themeColor="text1"/>
          <w:sz w:val="24"/>
          <w:szCs w:val="24"/>
        </w:rPr>
        <w:t xml:space="preserve">нормативу 100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прочих неналоговых доходов бюджетов городских округов - по нормативу                100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г) доходов в виде безвозмездных поступлений - в соответствии с законодательством Российской Федерации;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</w:t>
      </w:r>
      <w:r>
        <w:rPr>
          <w:color w:val="000000" w:themeColor="text1"/>
          <w:sz w:val="24"/>
          <w:szCs w:val="24"/>
        </w:rPr>
        <w:t xml:space="preserve">) доходов в виде безвозмездных поступлений, нормативы распределения по которым не установлены Бюджетным кодексом Российской Федерации, законодательством Российской Федерации, в том числе: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поступлений от денежных пожертвований, предоставляемых физическими л</w:t>
      </w:r>
      <w:r>
        <w:rPr>
          <w:color w:val="000000" w:themeColor="text1"/>
          <w:sz w:val="24"/>
          <w:szCs w:val="24"/>
        </w:rPr>
        <w:t xml:space="preserve">ицами получателям средств бюджетов городских округов, - по нормативу 100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прочих безвозмездных поступлений в бюджеты городских округов - по нормативу        100 процентов.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lang w:val="ru-RU"/>
        </w:rPr>
      </w:pPr>
      <w:r>
        <w:rPr>
          <w:color w:val="000000" w:themeColor="text1"/>
          <w:szCs w:val="24"/>
          <w:lang w:val="ru-RU"/>
        </w:rPr>
        <w:t xml:space="preserve">7. Установить, что в доходы бюджета Артемовского городского округа в 2026 </w:t>
      </w:r>
      <w:r>
        <w:rPr>
          <w:color w:val="000000" w:themeColor="text1"/>
          <w:szCs w:val="24"/>
          <w:lang w:val="ru-RU"/>
        </w:rPr>
        <w:t xml:space="preserve">году зачисляются </w:t>
      </w:r>
      <w:r>
        <w:rPr>
          <w:color w:val="000000" w:themeColor="text1"/>
          <w:lang w:val="ru-RU"/>
        </w:rPr>
        <w:t xml:space="preserve">суммы задолженности и перерасчетов по отмененным налогам, сборам и иным обязательным платежам, в том числе: </w:t>
      </w:r>
      <w:r>
        <w:rPr>
          <w:color w:val="000000" w:themeColor="text1"/>
          <w:lang w:val="ru-RU"/>
        </w:rPr>
      </w:r>
      <w:r>
        <w:rPr>
          <w:color w:val="000000" w:themeColor="text1"/>
          <w:lang w:val="ru-RU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налог на рекламу, мобилизуемый на территориях городских округов, - по нормативу 100 процентов;</w:t>
      </w:r>
      <w:r>
        <w:rPr>
          <w:color w:val="000000" w:themeColor="text1"/>
          <w:szCs w:val="24"/>
          <w:lang w:val="ru-RU"/>
        </w:rPr>
      </w:r>
      <w:r>
        <w:rPr>
          <w:color w:val="000000" w:themeColor="text1"/>
          <w:szCs w:val="24"/>
          <w:lang w:val="ru-RU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целевые сборы с граждан и предприят</w:t>
      </w:r>
      <w:r>
        <w:rPr>
          <w:color w:val="000000" w:themeColor="text1"/>
          <w:szCs w:val="24"/>
          <w:lang w:val="ru-RU"/>
        </w:rPr>
        <w:t xml:space="preserve">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округов, - по нормативу 100 процентов;</w:t>
      </w:r>
      <w:r>
        <w:rPr>
          <w:color w:val="000000" w:themeColor="text1"/>
          <w:szCs w:val="24"/>
          <w:lang w:val="ru-RU"/>
        </w:rPr>
      </w:r>
      <w:r>
        <w:rPr>
          <w:color w:val="000000" w:themeColor="text1"/>
          <w:szCs w:val="24"/>
          <w:lang w:val="ru-RU"/>
        </w:rPr>
      </w:r>
    </w:p>
    <w:p>
      <w:pPr>
        <w:pStyle w:val="913"/>
        <w:ind w:firstLine="709"/>
        <w:jc w:val="both"/>
        <w:widowControl w:val="off"/>
        <w:rPr>
          <w:color w:val="000000" w:themeColor="text1"/>
          <w:szCs w:val="24"/>
          <w:lang w:val="ru-RU"/>
        </w:rPr>
      </w:pPr>
      <w:r>
        <w:rPr>
          <w:color w:val="000000" w:themeColor="text1"/>
          <w:szCs w:val="24"/>
          <w:lang w:val="ru-RU"/>
        </w:rPr>
        <w:t xml:space="preserve">прочие местные налоги и сборы, мобилизуемые на территориях го</w:t>
      </w:r>
      <w:r>
        <w:rPr>
          <w:color w:val="000000" w:themeColor="text1"/>
          <w:szCs w:val="24"/>
          <w:lang w:val="ru-RU"/>
        </w:rPr>
        <w:t xml:space="preserve">родских округов, - по нормативу 100 процентов.</w:t>
      </w:r>
      <w:r>
        <w:rPr>
          <w:color w:val="000000" w:themeColor="text1"/>
          <w:szCs w:val="24"/>
          <w:lang w:val="ru-RU"/>
        </w:rPr>
      </w:r>
      <w:r>
        <w:rPr>
          <w:color w:val="000000" w:themeColor="text1"/>
          <w:szCs w:val="24"/>
          <w:lang w:val="ru-RU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8. Средства в валюте Российской Федерации, поступающие во временное распоряжение муниципальных казенных, бюджетных, автономных учреждений, органов местного самоуправления, в соответствии с законодательными и и</w:t>
      </w:r>
      <w:r>
        <w:rPr>
          <w:sz w:val="24"/>
          <w:szCs w:val="24"/>
        </w:rPr>
        <w:t xml:space="preserve">ными нормативными правовыми актами Российской Федерации, муниципальными правовыми актами </w:t>
      </w:r>
      <w:r>
        <w:rPr>
          <w:sz w:val="24"/>
          <w:szCs w:val="24"/>
        </w:rPr>
        <w:t xml:space="preserve">Артемовского городского округа, учитываются на лицевых счетах, открытых ими в территориальных органах Федерального казначейства.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9. Учесть в местном бюджете на 2026 го</w:t>
      </w:r>
      <w:r>
        <w:rPr>
          <w:sz w:val="24"/>
          <w:szCs w:val="24"/>
        </w:rPr>
        <w:t xml:space="preserve">д доходы в объемах согласно приложению    2 к настоящему решению.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10. Учесть в местном бюджете на плановый период 2027 и 2028 годов прогноз доходов в объемах согласно приложению 3 к настоящему решению.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rFonts w:eastAsia="Calibri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11. 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Установить, что плата за негативное воздействие на 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окружающую среду, суммы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х законами Приморского края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среде, в том числе водным объектам, вследствие нарушений обязат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зачисляемые в местный бюджет, направляются на выявление объект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ов накопленного вреда окружающей среде и (или) организацию по ликвидации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12. Установить размер отчислений в муниципальный дорожный фонд Артемовского городского окр</w:t>
      </w:r>
      <w:r>
        <w:rPr>
          <w:sz w:val="24"/>
          <w:szCs w:val="24"/>
        </w:rPr>
        <w:t xml:space="preserve">уга: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а) от земельного налога: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2026 год </w:t>
      </w:r>
      <w:r>
        <w:rPr>
          <w:color w:val="000000" w:themeColor="text1"/>
          <w:sz w:val="24"/>
          <w:szCs w:val="24"/>
        </w:rPr>
        <w:t xml:space="preserve">– 100,0000000000000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на 2027 год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– 100,0000000000000 процентов;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2028 год </w:t>
      </w:r>
      <w:r>
        <w:rPr>
          <w:color w:val="000000" w:themeColor="text1"/>
          <w:sz w:val="24"/>
          <w:szCs w:val="24"/>
        </w:rPr>
        <w:t xml:space="preserve">– 71,22336825702040 процентов;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б) от налога на имущество физических лиц: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2026 год </w:t>
      </w:r>
      <w:r>
        <w:rPr>
          <w:color w:val="000000" w:themeColor="text1"/>
          <w:sz w:val="24"/>
          <w:szCs w:val="24"/>
        </w:rPr>
        <w:t xml:space="preserve">– 93,51459827450980 процента;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2027 год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– 78,86596726666670 процента;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12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на 2028 год</w:t>
      </w:r>
      <w:r>
        <w:rPr>
          <w:color w:val="000000" w:themeColor="text1"/>
          <w:sz w:val="24"/>
          <w:szCs w:val="24"/>
        </w:rPr>
        <w:t xml:space="preserve"> – 0,000000000000000 процентов.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25"/>
        <w:ind w:firstLine="709"/>
        <w:jc w:val="both"/>
        <w:spacing w:line="360" w:lineRule="auto"/>
        <w:rPr>
          <w:b/>
        </w:rPr>
      </w:pPr>
      <w:r>
        <w:t xml:space="preserve">13. Настоящее решение вступает в силу со дня его принятия.</w:t>
      </w:r>
      <w:r>
        <w:rPr>
          <w:b/>
        </w:rPr>
      </w:r>
      <w:r>
        <w:rPr>
          <w:b/>
        </w:rPr>
      </w:r>
    </w:p>
    <w:p>
      <w:pPr>
        <w:pStyle w:val="913"/>
        <w:ind w:firstLine="567"/>
        <w:jc w:val="both"/>
        <w:spacing w:line="240" w:lineRule="auto"/>
        <w:widowControl w:val="off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13"/>
        <w:jc w:val="both"/>
        <w:spacing w:line="240" w:lineRule="auto"/>
        <w:widowControl w:val="off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13"/>
        <w:spacing w:line="240" w:lineRule="auto"/>
        <w:widowControl w:val="off"/>
        <w:rPr>
          <w:lang w:val="ru-RU"/>
        </w:rPr>
      </w:pPr>
      <w:r>
        <w:rPr>
          <w:lang w:val="ru-RU"/>
        </w:rPr>
        <w:t xml:space="preserve">Председатель Думы </w:t>
      </w:r>
      <w:r>
        <w:rPr>
          <w:lang w:val="ru-RU"/>
        </w:rPr>
      </w:r>
      <w:r>
        <w:rPr>
          <w:lang w:val="ru-RU"/>
        </w:rPr>
      </w:r>
    </w:p>
    <w:p>
      <w:pPr>
        <w:pStyle w:val="913"/>
        <w:spacing w:line="240" w:lineRule="auto"/>
        <w:widowControl w:val="off"/>
        <w:rPr>
          <w:lang w:val="ru-RU"/>
        </w:rPr>
      </w:pPr>
      <w:r>
        <w:rPr>
          <w:lang w:val="ru-RU"/>
        </w:rPr>
        <w:t xml:space="preserve">Артемовского городского округа                                                                       </w:t>
      </w:r>
      <w:r>
        <w:rPr>
          <w:lang w:val="ru-RU"/>
        </w:rPr>
        <w:t xml:space="preserve">        Н.С. Волкова</w:t>
      </w:r>
      <w:r>
        <w:rPr>
          <w:lang w:val="ru-RU"/>
        </w:rPr>
      </w:r>
      <w:r>
        <w:rPr>
          <w:lang w:val="ru-RU"/>
        </w:rPr>
      </w:r>
    </w:p>
    <w:sectPr>
      <w:headerReference w:type="default" r:id="rId9"/>
      <w:headerReference w:type="even" r:id="rId10"/>
      <w:footerReference w:type="first" r:id="rId11"/>
      <w:footnotePr/>
      <w:endnotePr/>
      <w:type w:val="nextPage"/>
      <w:pgSz w:w="11906" w:h="16838" w:orient="portrait"/>
      <w:pgMar w:top="1134" w:right="680" w:bottom="850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rPr>
        <w:rStyle w:val="916"/>
        <w:sz w:val="24"/>
        <w:szCs w:val="24"/>
      </w:rPr>
      <w:framePr w:wrap="around" w:vAnchor="text" w:hAnchor="margin" w:xAlign="center" w:y="1"/>
    </w:pPr>
    <w:r>
      <w:rPr>
        <w:rStyle w:val="916"/>
        <w:sz w:val="24"/>
        <w:szCs w:val="24"/>
      </w:rPr>
      <w:fldChar w:fldCharType="begin"/>
    </w:r>
    <w:r>
      <w:rPr>
        <w:rStyle w:val="916"/>
        <w:sz w:val="24"/>
        <w:szCs w:val="24"/>
      </w:rPr>
      <w:instrText xml:space="preserve">PAGE  </w:instrText>
    </w:r>
    <w:r>
      <w:rPr>
        <w:rStyle w:val="916"/>
        <w:sz w:val="24"/>
        <w:szCs w:val="24"/>
      </w:rPr>
      <w:fldChar w:fldCharType="separate"/>
    </w:r>
    <w:r>
      <w:rPr>
        <w:rStyle w:val="916"/>
        <w:sz w:val="24"/>
        <w:szCs w:val="24"/>
      </w:rPr>
      <w:t xml:space="preserve">5</w:t>
    </w:r>
    <w:r>
      <w:rPr>
        <w:rStyle w:val="916"/>
        <w:sz w:val="24"/>
        <w:szCs w:val="24"/>
      </w:rPr>
      <w:fldChar w:fldCharType="end"/>
    </w:r>
    <w:r>
      <w:rPr>
        <w:rStyle w:val="916"/>
        <w:sz w:val="24"/>
        <w:szCs w:val="24"/>
      </w:rPr>
    </w:r>
    <w:r>
      <w:rPr>
        <w:rStyle w:val="916"/>
        <w:sz w:val="24"/>
        <w:szCs w:val="24"/>
      </w:rPr>
    </w:r>
  </w:p>
  <w:p>
    <w:pPr>
      <w:pStyle w:val="76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rPr>
        <w:rStyle w:val="916"/>
      </w:rPr>
      <w:framePr w:wrap="around" w:vAnchor="text" w:hAnchor="margin" w:xAlign="center" w:y="1"/>
    </w:pPr>
    <w:r>
      <w:rPr>
        <w:rStyle w:val="916"/>
      </w:rPr>
      <w:fldChar w:fldCharType="begin"/>
    </w:r>
    <w:r>
      <w:rPr>
        <w:rStyle w:val="916"/>
      </w:rPr>
      <w:instrText xml:space="preserve">PAGE  </w:instrText>
    </w:r>
    <w:r>
      <w:rPr>
        <w:rStyle w:val="916"/>
      </w:rPr>
      <w:fldChar w:fldCharType="end"/>
    </w:r>
    <w:r>
      <w:rPr>
        <w:rStyle w:val="916"/>
      </w:rPr>
    </w:r>
    <w:r>
      <w:rPr>
        <w:rStyle w:val="916"/>
      </w:rPr>
    </w:r>
  </w:p>
  <w:p>
    <w:pPr>
      <w:pStyle w:val="7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1">
    <w:multiLevelType w:val="hybridMultilevel"/>
    <w:lvl w:ilvl="0">
      <w:start w:val="29"/>
      <w:numFmt w:val="decimal"/>
      <w:isLgl w:val="false"/>
      <w:suff w:val="tab"/>
      <w:lvlText w:val="%1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4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5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4" w:default="1">
    <w:name w:val="Normal"/>
    <w:qFormat/>
    <w:rPr>
      <w:lang w:eastAsia="ru-RU"/>
    </w:rPr>
  </w:style>
  <w:style w:type="paragraph" w:styleId="715">
    <w:name w:val="Heading 1"/>
    <w:basedOn w:val="714"/>
    <w:next w:val="714"/>
    <w:link w:val="744"/>
    <w:qFormat/>
    <w:pPr>
      <w:keepNext/>
      <w:outlineLvl w:val="0"/>
    </w:pPr>
    <w:rPr>
      <w:sz w:val="24"/>
      <w:lang w:val="en-US"/>
    </w:rPr>
  </w:style>
  <w:style w:type="paragraph" w:styleId="716">
    <w:name w:val="Heading 2"/>
    <w:basedOn w:val="714"/>
    <w:next w:val="714"/>
    <w:link w:val="745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717">
    <w:name w:val="Heading 3"/>
    <w:basedOn w:val="714"/>
    <w:next w:val="714"/>
    <w:link w:val="746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paragraph" w:styleId="718">
    <w:name w:val="Heading 4"/>
    <w:basedOn w:val="714"/>
    <w:next w:val="714"/>
    <w:link w:val="747"/>
    <w:qFormat/>
    <w:pPr>
      <w:jc w:val="right"/>
      <w:keepNext/>
      <w:spacing w:line="360" w:lineRule="auto"/>
      <w:outlineLvl w:val="3"/>
    </w:pPr>
    <w:rPr>
      <w:sz w:val="24"/>
    </w:rPr>
  </w:style>
  <w:style w:type="paragraph" w:styleId="719">
    <w:name w:val="Heading 5"/>
    <w:basedOn w:val="714"/>
    <w:next w:val="714"/>
    <w:link w:val="748"/>
    <w:qFormat/>
    <w:pPr>
      <w:jc w:val="center"/>
      <w:keepNext/>
      <w:outlineLvl w:val="4"/>
    </w:pPr>
    <w:rPr>
      <w:b/>
      <w:sz w:val="32"/>
    </w:rPr>
  </w:style>
  <w:style w:type="paragraph" w:styleId="720">
    <w:name w:val="Heading 6"/>
    <w:basedOn w:val="714"/>
    <w:next w:val="714"/>
    <w:link w:val="749"/>
    <w:qFormat/>
    <w:pPr>
      <w:ind w:firstLine="567"/>
      <w:jc w:val="both"/>
      <w:keepNext/>
      <w:spacing w:line="360" w:lineRule="auto"/>
      <w:outlineLvl w:val="5"/>
    </w:pPr>
    <w:rPr>
      <w:sz w:val="24"/>
    </w:rPr>
  </w:style>
  <w:style w:type="paragraph" w:styleId="721">
    <w:name w:val="Heading 7"/>
    <w:basedOn w:val="714"/>
    <w:next w:val="714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2">
    <w:name w:val="Heading 8"/>
    <w:basedOn w:val="714"/>
    <w:next w:val="714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3">
    <w:name w:val="Heading 9"/>
    <w:basedOn w:val="714"/>
    <w:next w:val="714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4" w:default="1">
    <w:name w:val="Default Paragraph Font"/>
    <w:uiPriority w:val="1"/>
    <w:semiHidden/>
    <w:unhideWhenUsed/>
  </w:style>
  <w:style w:type="table" w:styleId="7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6" w:default="1">
    <w:name w:val="No List"/>
    <w:uiPriority w:val="99"/>
    <w:semiHidden/>
    <w:unhideWhenUsed/>
  </w:style>
  <w:style w:type="character" w:styleId="727" w:customStyle="1">
    <w:name w:val="Heading 1 Char"/>
    <w:basedOn w:val="724"/>
    <w:uiPriority w:val="9"/>
    <w:rPr>
      <w:rFonts w:ascii="Arial" w:hAnsi="Arial" w:eastAsia="Arial" w:cs="Arial"/>
      <w:sz w:val="40"/>
      <w:szCs w:val="40"/>
    </w:rPr>
  </w:style>
  <w:style w:type="character" w:styleId="728" w:customStyle="1">
    <w:name w:val="Heading 2 Char"/>
    <w:basedOn w:val="724"/>
    <w:uiPriority w:val="9"/>
    <w:rPr>
      <w:rFonts w:ascii="Arial" w:hAnsi="Arial" w:eastAsia="Arial" w:cs="Arial"/>
      <w:sz w:val="34"/>
    </w:rPr>
  </w:style>
  <w:style w:type="character" w:styleId="729" w:customStyle="1">
    <w:name w:val="Heading 3 Char"/>
    <w:basedOn w:val="724"/>
    <w:uiPriority w:val="9"/>
    <w:rPr>
      <w:rFonts w:ascii="Arial" w:hAnsi="Arial" w:eastAsia="Arial" w:cs="Arial"/>
      <w:sz w:val="30"/>
      <w:szCs w:val="30"/>
    </w:rPr>
  </w:style>
  <w:style w:type="character" w:styleId="730" w:customStyle="1">
    <w:name w:val="Heading 4 Char"/>
    <w:basedOn w:val="724"/>
    <w:uiPriority w:val="9"/>
    <w:rPr>
      <w:rFonts w:ascii="Arial" w:hAnsi="Arial" w:eastAsia="Arial" w:cs="Arial"/>
      <w:b/>
      <w:bCs/>
      <w:sz w:val="26"/>
      <w:szCs w:val="26"/>
    </w:rPr>
  </w:style>
  <w:style w:type="character" w:styleId="731" w:customStyle="1">
    <w:name w:val="Heading 5 Char"/>
    <w:basedOn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32" w:customStyle="1">
    <w:name w:val="Heading 6 Char"/>
    <w:basedOn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3" w:customStyle="1">
    <w:name w:val="Heading 7 Char"/>
    <w:basedOn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4" w:customStyle="1">
    <w:name w:val="Heading 8 Char"/>
    <w:basedOn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5" w:customStyle="1">
    <w:name w:val="Heading 9 Char"/>
    <w:basedOn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736" w:customStyle="1">
    <w:name w:val="Title Char"/>
    <w:basedOn w:val="724"/>
    <w:uiPriority w:val="10"/>
    <w:rPr>
      <w:sz w:val="48"/>
      <w:szCs w:val="48"/>
    </w:rPr>
  </w:style>
  <w:style w:type="character" w:styleId="737" w:customStyle="1">
    <w:name w:val="Subtitle Char"/>
    <w:basedOn w:val="724"/>
    <w:uiPriority w:val="11"/>
    <w:rPr>
      <w:sz w:val="24"/>
      <w:szCs w:val="24"/>
    </w:rPr>
  </w:style>
  <w:style w:type="character" w:styleId="738" w:customStyle="1">
    <w:name w:val="Quote Char"/>
    <w:uiPriority w:val="29"/>
    <w:rPr>
      <w:i/>
    </w:rPr>
  </w:style>
  <w:style w:type="character" w:styleId="739" w:customStyle="1">
    <w:name w:val="Intense Quote Char"/>
    <w:uiPriority w:val="30"/>
    <w:rPr>
      <w:i/>
    </w:rPr>
  </w:style>
  <w:style w:type="character" w:styleId="740" w:customStyle="1">
    <w:name w:val="Footer Char"/>
    <w:basedOn w:val="724"/>
    <w:uiPriority w:val="99"/>
  </w:style>
  <w:style w:type="character" w:styleId="741" w:customStyle="1">
    <w:name w:val="Caption Char"/>
    <w:basedOn w:val="724"/>
    <w:uiPriority w:val="35"/>
    <w:rPr>
      <w:b/>
      <w:bCs/>
      <w:color w:val="4f81bd" w:themeColor="accent1"/>
      <w:sz w:val="18"/>
      <w:szCs w:val="18"/>
    </w:rPr>
  </w:style>
  <w:style w:type="character" w:styleId="742" w:customStyle="1">
    <w:name w:val="Footnote Text Char"/>
    <w:uiPriority w:val="99"/>
    <w:rPr>
      <w:sz w:val="18"/>
    </w:rPr>
  </w:style>
  <w:style w:type="character" w:styleId="743" w:customStyle="1">
    <w:name w:val="Endnote Text Char"/>
    <w:uiPriority w:val="99"/>
    <w:rPr>
      <w:sz w:val="20"/>
    </w:rPr>
  </w:style>
  <w:style w:type="character" w:styleId="744" w:customStyle="1">
    <w:name w:val="Заголовок 1 Знак"/>
    <w:link w:val="715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Заголовок 2 Знак"/>
    <w:link w:val="716"/>
    <w:uiPriority w:val="9"/>
    <w:rPr>
      <w:rFonts w:ascii="Arial" w:hAnsi="Arial" w:eastAsia="Arial" w:cs="Arial"/>
      <w:sz w:val="34"/>
    </w:rPr>
  </w:style>
  <w:style w:type="character" w:styleId="746" w:customStyle="1">
    <w:name w:val="Заголовок 3 Знак"/>
    <w:link w:val="717"/>
    <w:uiPriority w:val="9"/>
    <w:rPr>
      <w:rFonts w:ascii="Arial" w:hAnsi="Arial" w:eastAsia="Arial" w:cs="Arial"/>
      <w:sz w:val="30"/>
      <w:szCs w:val="30"/>
    </w:rPr>
  </w:style>
  <w:style w:type="character" w:styleId="747" w:customStyle="1">
    <w:name w:val="Заголовок 4 Знак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48" w:customStyle="1">
    <w:name w:val="Заголовок 5 Знак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49" w:customStyle="1">
    <w:name w:val="Заголовок 6 Знак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50" w:customStyle="1">
    <w:name w:val="Заголовок 7 Знак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 w:customStyle="1">
    <w:name w:val="Заголовок 8 Знак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52" w:customStyle="1">
    <w:name w:val="Заголовок 9 Знак"/>
    <w:link w:val="723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List Paragraph"/>
    <w:basedOn w:val="714"/>
    <w:uiPriority w:val="34"/>
    <w:qFormat/>
    <w:pPr>
      <w:contextualSpacing/>
      <w:ind w:left="720"/>
    </w:pPr>
  </w:style>
  <w:style w:type="paragraph" w:styleId="754">
    <w:name w:val="No Spacing"/>
    <w:uiPriority w:val="1"/>
    <w:qFormat/>
  </w:style>
  <w:style w:type="paragraph" w:styleId="755">
    <w:name w:val="Title"/>
    <w:basedOn w:val="714"/>
    <w:next w:val="714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 w:customStyle="1">
    <w:name w:val="Заголовок Знак"/>
    <w:link w:val="755"/>
    <w:uiPriority w:val="10"/>
    <w:rPr>
      <w:sz w:val="48"/>
      <w:szCs w:val="48"/>
    </w:rPr>
  </w:style>
  <w:style w:type="paragraph" w:styleId="757">
    <w:name w:val="Subtitle"/>
    <w:basedOn w:val="714"/>
    <w:next w:val="714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 w:customStyle="1">
    <w:name w:val="Подзаголовок Знак"/>
    <w:link w:val="757"/>
    <w:uiPriority w:val="11"/>
    <w:rPr>
      <w:sz w:val="24"/>
      <w:szCs w:val="24"/>
    </w:rPr>
  </w:style>
  <w:style w:type="paragraph" w:styleId="759">
    <w:name w:val="Quote"/>
    <w:basedOn w:val="714"/>
    <w:next w:val="714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14"/>
    <w:next w:val="714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paragraph" w:styleId="763">
    <w:name w:val="Header"/>
    <w:basedOn w:val="714"/>
    <w:link w:val="920"/>
    <w:uiPriority w:val="99"/>
    <w:pPr>
      <w:tabs>
        <w:tab w:val="center" w:pos="4153" w:leader="none"/>
        <w:tab w:val="right" w:pos="8306" w:leader="none"/>
      </w:tabs>
    </w:pPr>
  </w:style>
  <w:style w:type="character" w:styleId="764" w:customStyle="1">
    <w:name w:val="Header Char"/>
    <w:uiPriority w:val="99"/>
  </w:style>
  <w:style w:type="paragraph" w:styleId="765">
    <w:name w:val="Footer"/>
    <w:basedOn w:val="714"/>
    <w:link w:val="766"/>
    <w:pPr>
      <w:tabs>
        <w:tab w:val="center" w:pos="4153" w:leader="none"/>
        <w:tab w:val="right" w:pos="8306" w:leader="none"/>
      </w:tabs>
    </w:pPr>
  </w:style>
  <w:style w:type="character" w:styleId="766" w:customStyle="1">
    <w:name w:val="Нижний колонтитул Знак"/>
    <w:link w:val="765"/>
    <w:uiPriority w:val="99"/>
  </w:style>
  <w:style w:type="paragraph" w:styleId="767">
    <w:name w:val="Caption"/>
    <w:basedOn w:val="714"/>
    <w:next w:val="714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 w:customStyle="1">
    <w:name w:val="Название объекта Знак"/>
    <w:link w:val="767"/>
    <w:uiPriority w:val="35"/>
    <w:rPr>
      <w:b/>
      <w:bCs/>
      <w:color w:val="4f81bd" w:themeColor="accent1"/>
      <w:sz w:val="18"/>
      <w:szCs w:val="18"/>
    </w:rPr>
  </w:style>
  <w:style w:type="table" w:styleId="76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5">
    <w:name w:val="Hyperlink"/>
    <w:rPr>
      <w:color w:val="0000ff"/>
      <w:u w:val="single"/>
    </w:rPr>
  </w:style>
  <w:style w:type="paragraph" w:styleId="896">
    <w:name w:val="footnote text"/>
    <w:basedOn w:val="714"/>
    <w:link w:val="897"/>
    <w:uiPriority w:val="99"/>
    <w:semiHidden/>
    <w:unhideWhenUsed/>
    <w:pPr>
      <w:spacing w:after="40"/>
    </w:pPr>
    <w:rPr>
      <w:sz w:val="18"/>
    </w:rPr>
  </w:style>
  <w:style w:type="character" w:styleId="897" w:customStyle="1">
    <w:name w:val="Текст сноски Знак"/>
    <w:link w:val="896"/>
    <w:uiPriority w:val="99"/>
    <w:rPr>
      <w:sz w:val="18"/>
    </w:rPr>
  </w:style>
  <w:style w:type="character" w:styleId="898">
    <w:name w:val="footnote reference"/>
    <w:uiPriority w:val="99"/>
    <w:unhideWhenUsed/>
    <w:rPr>
      <w:vertAlign w:val="superscript"/>
    </w:rPr>
  </w:style>
  <w:style w:type="paragraph" w:styleId="899">
    <w:name w:val="endnote text"/>
    <w:basedOn w:val="714"/>
    <w:link w:val="900"/>
    <w:uiPriority w:val="99"/>
    <w:semiHidden/>
    <w:unhideWhenUsed/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714"/>
    <w:next w:val="714"/>
    <w:uiPriority w:val="39"/>
    <w:unhideWhenUsed/>
    <w:pPr>
      <w:spacing w:after="57"/>
    </w:pPr>
  </w:style>
  <w:style w:type="paragraph" w:styleId="903">
    <w:name w:val="toc 2"/>
    <w:basedOn w:val="714"/>
    <w:next w:val="714"/>
    <w:uiPriority w:val="39"/>
    <w:unhideWhenUsed/>
    <w:pPr>
      <w:ind w:left="283"/>
      <w:spacing w:after="57"/>
    </w:pPr>
  </w:style>
  <w:style w:type="paragraph" w:styleId="904">
    <w:name w:val="toc 3"/>
    <w:basedOn w:val="714"/>
    <w:next w:val="714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paragraph" w:styleId="905">
    <w:name w:val="toc 4"/>
    <w:basedOn w:val="714"/>
    <w:next w:val="714"/>
    <w:uiPriority w:val="39"/>
    <w:unhideWhenUsed/>
    <w:pPr>
      <w:ind w:left="850"/>
      <w:spacing w:after="57"/>
    </w:pPr>
  </w:style>
  <w:style w:type="paragraph" w:styleId="906">
    <w:name w:val="toc 5"/>
    <w:basedOn w:val="714"/>
    <w:next w:val="714"/>
    <w:uiPriority w:val="39"/>
    <w:unhideWhenUsed/>
    <w:pPr>
      <w:ind w:left="1134"/>
      <w:spacing w:after="57"/>
    </w:pPr>
  </w:style>
  <w:style w:type="paragraph" w:styleId="907">
    <w:name w:val="toc 6"/>
    <w:basedOn w:val="714"/>
    <w:next w:val="714"/>
    <w:uiPriority w:val="39"/>
    <w:unhideWhenUsed/>
    <w:pPr>
      <w:ind w:left="1417"/>
      <w:spacing w:after="57"/>
    </w:pPr>
  </w:style>
  <w:style w:type="paragraph" w:styleId="908">
    <w:name w:val="toc 7"/>
    <w:basedOn w:val="714"/>
    <w:next w:val="714"/>
    <w:uiPriority w:val="39"/>
    <w:unhideWhenUsed/>
    <w:pPr>
      <w:ind w:left="1701"/>
      <w:spacing w:after="57"/>
    </w:pPr>
  </w:style>
  <w:style w:type="paragraph" w:styleId="909">
    <w:name w:val="toc 8"/>
    <w:basedOn w:val="714"/>
    <w:next w:val="714"/>
    <w:uiPriority w:val="39"/>
    <w:unhideWhenUsed/>
    <w:pPr>
      <w:ind w:left="1984"/>
      <w:spacing w:after="57"/>
    </w:pPr>
  </w:style>
  <w:style w:type="paragraph" w:styleId="910">
    <w:name w:val="toc 9"/>
    <w:basedOn w:val="714"/>
    <w:next w:val="714"/>
    <w:uiPriority w:val="39"/>
    <w:unhideWhenUsed/>
    <w:pPr>
      <w:ind w:left="2268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714"/>
    <w:next w:val="714"/>
    <w:uiPriority w:val="99"/>
    <w:unhideWhenUsed/>
  </w:style>
  <w:style w:type="paragraph" w:styleId="913">
    <w:name w:val="Body Text"/>
    <w:basedOn w:val="714"/>
    <w:link w:val="919"/>
    <w:pPr>
      <w:spacing w:line="360" w:lineRule="auto"/>
    </w:pPr>
    <w:rPr>
      <w:sz w:val="24"/>
      <w:lang w:val="en-US" w:eastAsia="en-US"/>
    </w:rPr>
  </w:style>
  <w:style w:type="paragraph" w:styleId="914">
    <w:name w:val="Body Text 2"/>
    <w:basedOn w:val="714"/>
    <w:pPr>
      <w:jc w:val="both"/>
      <w:spacing w:line="360" w:lineRule="auto"/>
    </w:pPr>
    <w:rPr>
      <w:sz w:val="24"/>
    </w:rPr>
  </w:style>
  <w:style w:type="paragraph" w:styleId="915">
    <w:name w:val="Body Text Indent"/>
    <w:basedOn w:val="714"/>
    <w:pPr>
      <w:ind w:firstLine="851"/>
      <w:jc w:val="both"/>
      <w:spacing w:line="360" w:lineRule="auto"/>
    </w:pPr>
    <w:rPr>
      <w:sz w:val="24"/>
    </w:rPr>
  </w:style>
  <w:style w:type="character" w:styleId="916">
    <w:name w:val="page number"/>
    <w:basedOn w:val="724"/>
  </w:style>
  <w:style w:type="paragraph" w:styleId="917">
    <w:name w:val="Body Text Indent 2"/>
    <w:basedOn w:val="714"/>
    <w:pPr>
      <w:ind w:firstLine="567"/>
      <w:jc w:val="both"/>
      <w:spacing w:line="360" w:lineRule="auto"/>
    </w:pPr>
    <w:rPr>
      <w:sz w:val="24"/>
    </w:rPr>
  </w:style>
  <w:style w:type="paragraph" w:styleId="918">
    <w:name w:val="Balloon Text"/>
    <w:basedOn w:val="714"/>
    <w:semiHidden/>
    <w:rPr>
      <w:rFonts w:ascii="Tahoma" w:hAnsi="Tahoma" w:cs="Tahoma"/>
      <w:sz w:val="16"/>
      <w:szCs w:val="16"/>
    </w:rPr>
  </w:style>
  <w:style w:type="character" w:styleId="919" w:customStyle="1">
    <w:name w:val="Основной текст Знак"/>
    <w:link w:val="913"/>
    <w:rPr>
      <w:sz w:val="24"/>
    </w:rPr>
  </w:style>
  <w:style w:type="character" w:styleId="920" w:customStyle="1">
    <w:name w:val="Верхний колонтитул Знак"/>
    <w:link w:val="763"/>
    <w:uiPriority w:val="99"/>
  </w:style>
  <w:style w:type="paragraph" w:styleId="921" w:customStyle="1">
    <w:name w:val="Style2"/>
    <w:basedOn w:val="714"/>
    <w:uiPriority w:val="99"/>
    <w:pPr>
      <w:ind w:firstLine="542"/>
      <w:jc w:val="both"/>
      <w:spacing w:line="322" w:lineRule="exact"/>
      <w:widowControl w:val="off"/>
    </w:pPr>
    <w:rPr>
      <w:sz w:val="24"/>
      <w:szCs w:val="24"/>
    </w:rPr>
  </w:style>
  <w:style w:type="character" w:styleId="922" w:customStyle="1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styleId="923" w:customStyle="1">
    <w:name w:val="Цветовое выделение"/>
    <w:rPr>
      <w:b/>
      <w:bCs/>
      <w:color w:val="000080"/>
      <w:sz w:val="20"/>
      <w:szCs w:val="20"/>
    </w:rPr>
  </w:style>
  <w:style w:type="paragraph" w:styleId="924">
    <w:name w:val="Normal (Web)"/>
    <w:basedOn w:val="71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25" w:customStyle="1">
    <w:name w:val="ConsPlusNormal"/>
    <w:rPr>
      <w:sz w:val="24"/>
      <w:szCs w:val="24"/>
      <w:lang w:eastAsia="ru-RU"/>
    </w:rPr>
  </w:style>
  <w:style w:type="paragraph" w:styleId="926" w:customStyle="1">
    <w:name w:val="ConsPlusTitle"/>
    <w:uiPriority w:val="99"/>
    <w:rPr>
      <w:b/>
      <w:bCs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ТСКОМ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kurdamonova_ov</cp:lastModifiedBy>
  <cp:revision>203</cp:revision>
  <dcterms:created xsi:type="dcterms:W3CDTF">2019-10-08T06:58:00Z</dcterms:created>
  <dcterms:modified xsi:type="dcterms:W3CDTF">2025-10-27T00:35:04Z</dcterms:modified>
  <cp:version>1048576</cp:version>
</cp:coreProperties>
</file>